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tabs>
          <w:tab w:val="clear" w:pos="708"/>
          <w:tab w:val="left" w:pos="5103" w:leader="underscore"/>
        </w:tabs>
        <w:spacing w:lineRule="auto" w:line="360" w:beforeAutospacing="0" w:before="0" w:afterAutospacing="0" w:after="480"/>
        <w:rPr>
          <w:rStyle w:val="Strong"/>
          <w:b w:val="false"/>
          <w:b w:val="false"/>
          <w:bCs w:val="false"/>
        </w:rPr>
      </w:pPr>
      <w:r>
        <w:rPr/>
        <w:t xml:space="preserve">Luogo/data </w:t>
        <w:tab/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 inviare a mezzo pec o raccomandata a/r</w:t>
      </w:r>
    </w:p>
    <w:p>
      <w:pPr>
        <w:pStyle w:val="Normal"/>
        <w:spacing w:lineRule="auto" w:line="360" w:before="0" w:after="0"/>
        <w:ind w:left="4678" w:hanging="0"/>
        <w:jc w:val="both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Spettabile</w:t>
      </w:r>
    </w:p>
    <w:p>
      <w:pPr>
        <w:pStyle w:val="Normal"/>
        <w:tabs>
          <w:tab w:val="clear" w:pos="708"/>
          <w:tab w:val="left" w:pos="9638" w:leader="underscore"/>
        </w:tabs>
        <w:spacing w:lineRule="exact" w:line="440" w:before="0" w:after="0"/>
        <w:ind w:left="453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9638" w:leader="underscore"/>
        </w:tabs>
        <w:spacing w:lineRule="exact" w:line="440" w:before="0" w:after="0"/>
        <w:ind w:left="453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9638" w:leader="underscore"/>
        </w:tabs>
        <w:spacing w:lineRule="exact" w:line="440" w:before="0" w:after="0"/>
        <w:ind w:left="4536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Web"/>
        <w:shd w:val="clear" w:color="auto" w:fill="FFFFFF"/>
        <w:spacing w:lineRule="atLeast" w:line="300" w:beforeAutospacing="0" w:before="440" w:afterAutospacing="0" w:after="560"/>
        <w:rPr>
          <w:color w:val="333333"/>
        </w:rPr>
      </w:pPr>
      <w:r>
        <w:rPr>
          <w:color w:val="333333"/>
        </w:rPr>
        <w:t>Alla cortese attenzione del legale rappresentante pro tempore</w:t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rStyle w:val="Strong"/>
        </w:rPr>
      </w:pPr>
      <w:r>
        <w:rPr>
          <w:rStyle w:val="Strong"/>
        </w:rPr>
        <w:t>OGGETTO: [</w:t>
      </w:r>
      <w:r>
        <w:rPr>
          <w:rStyle w:val="Strong"/>
        </w:rPr>
        <w:t xml:space="preserve">Scrivere </w:t>
      </w:r>
      <w:r>
        <w:rPr>
          <w:rStyle w:val="Strong"/>
          <w:b w:val="false"/>
          <w:bCs w:val="false"/>
        </w:rPr>
        <w:t>Nome e cognome del lavoratore/Denominazione azienda</w:t>
      </w:r>
      <w:r>
        <w:rPr>
          <w:rStyle w:val="Strong"/>
        </w:rPr>
        <w:t>]___</w:t>
      </w:r>
    </w:p>
    <w:p>
      <w:pPr>
        <w:pStyle w:val="NormalWeb"/>
        <w:shd w:val="clear" w:color="auto" w:fill="FFFFFF"/>
        <w:spacing w:lineRule="auto" w:line="360" w:beforeAutospacing="0" w:before="320" w:afterAutospacing="0" w:after="320"/>
        <w:jc w:val="center"/>
        <w:rPr/>
      </w:pPr>
      <w:r>
        <w:rPr>
          <w:rStyle w:val="Strong"/>
        </w:rPr>
        <w:t>DIFFIDA</w:t>
      </w:r>
    </w:p>
    <w:p>
      <w:pPr>
        <w:pStyle w:val="NormalWeb"/>
        <w:tabs>
          <w:tab w:val="clear" w:pos="708"/>
          <w:tab w:val="left" w:pos="9638" w:leader="underscore"/>
        </w:tabs>
        <w:spacing w:lineRule="auto" w:line="360" w:beforeAutospacing="0" w:before="0" w:afterAutospacing="0" w:after="120"/>
        <w:rPr/>
      </w:pPr>
      <w:r>
        <w:rPr/>
        <w:t xml:space="preserve">Il/la Sottoscritto/a </w:t>
        <w:tab/>
      </w:r>
    </w:p>
    <w:p>
      <w:pPr>
        <w:pStyle w:val="Normal"/>
        <w:tabs>
          <w:tab w:val="clear" w:pos="708"/>
          <w:tab w:val="left" w:pos="6237" w:leader="underscore"/>
          <w:tab w:val="left" w:pos="7371" w:leader="underscore"/>
        </w:tabs>
        <w:spacing w:lineRule="auto" w:line="36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c.f.</w:t>
        <w:tab/>
      </w:r>
    </w:p>
    <w:p>
      <w:pPr>
        <w:pStyle w:val="Normal"/>
        <w:tabs>
          <w:tab w:val="clear" w:pos="708"/>
          <w:tab w:val="left" w:pos="6663" w:leader="underscore"/>
          <w:tab w:val="left" w:pos="7797" w:leader="underscore"/>
        </w:tabs>
        <w:spacing w:lineRule="auto" w:line="36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nato/a a </w:t>
        <w:tab/>
        <w:t xml:space="preserve"> (</w:t>
        <w:tab/>
        <w:t>) il ___/___/____ ,</w:t>
      </w:r>
    </w:p>
    <w:p>
      <w:pPr>
        <w:pStyle w:val="Normal"/>
        <w:tabs>
          <w:tab w:val="clear" w:pos="708"/>
          <w:tab w:val="left" w:pos="6663" w:leader="underscore"/>
          <w:tab w:val="left" w:pos="7797" w:leader="underscore"/>
          <w:tab w:val="left" w:pos="9638" w:leader="underscore"/>
        </w:tabs>
        <w:spacing w:lineRule="auto" w:line="36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residente a </w:t>
        <w:tab/>
        <w:t xml:space="preserve"> (</w:t>
        <w:tab/>
        <w:t xml:space="preserve">) CAP </w:t>
        <w:tab/>
      </w:r>
    </w:p>
    <w:p>
      <w:pPr>
        <w:pStyle w:val="Normal"/>
        <w:tabs>
          <w:tab w:val="clear" w:pos="708"/>
          <w:tab w:val="left" w:pos="8647" w:leader="underscore"/>
        </w:tabs>
        <w:spacing w:lineRule="auto" w:line="360" w:before="0" w:after="12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 </w:t>
        <w:tab/>
        <w:t xml:space="preserve"> n° _____</w:t>
      </w:r>
    </w:p>
    <w:p>
      <w:pPr>
        <w:pStyle w:val="NormalWeb"/>
        <w:shd w:val="clear" w:color="auto" w:fill="FFFFFF"/>
        <w:spacing w:lineRule="atLeast" w:line="300" w:beforeAutospacing="0" w:before="0" w:afterAutospacing="0" w:after="300"/>
        <w:jc w:val="both"/>
        <w:rPr>
          <w:color w:val="333333"/>
        </w:rPr>
      </w:pPr>
      <w:r>
        <w:rPr>
          <w:color w:val="333333"/>
        </w:rPr>
        <w:t>formulo/a la presente per significare quanto segue.</w:t>
      </w:r>
    </w:p>
    <w:p>
      <w:pPr>
        <w:pStyle w:val="NormalWeb"/>
        <w:shd w:val="clear" w:color="auto" w:fill="FFFFFF"/>
        <w:spacing w:lineRule="atLeast" w:line="300" w:beforeAutospacing="0" w:before="0" w:afterAutospacing="0" w:after="300"/>
        <w:jc w:val="center"/>
        <w:rPr>
          <w:b/>
          <w:b/>
          <w:bCs/>
          <w:color w:val="333333"/>
        </w:rPr>
      </w:pPr>
      <w:r>
        <w:rPr>
          <w:b/>
          <w:bCs/>
          <w:color w:val="333333"/>
        </w:rPr>
        <w:t>Premesso che: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/>
      </w:pPr>
      <w:r>
        <w:rPr/>
        <w:t>In data _____________, veniva diramata una circolare interna a mezzo della quale è stato imposto il divieto di accesso all’interno delle mense aziendali ai lavoratori sprovvisti di green pass;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Le circolari interne non hanno alcun valore giuridico, non essendo neanche annoverate all’interno della gerarchia delle fonti del diritto italiano;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Il decreto legge n. 105/2021 che ha istituito l’obbligo di green pass per l’accesso a vari esercizi commerciali, fra cui quelli che abbiano licenza di ristorazione, non annovera le mense fra le attività per il cui accesso è necessario il possesso della certificazione verde;</w:t>
      </w:r>
    </w:p>
    <w:p>
      <w:pPr>
        <w:pStyle w:val="ListParagraph"/>
        <w:numPr>
          <w:ilvl w:val="0"/>
          <w:numId w:val="1"/>
        </w:numPr>
        <w:spacing w:lineRule="auto" w:line="360" w:before="0" w:after="16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Una circolare interna, come sopra detto, non ha valore giuridico e non può derogare alle disposizioni di un decreto legge, che è un atto amministrativo di secondo grado;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/>
      </w:pPr>
      <w:r>
        <w:rPr/>
        <w:t xml:space="preserve">Ad ogni modo, pur volendo aderire ad un’interpretazione estensiva del </w:t>
      </w:r>
      <w:r>
        <w:rPr>
          <w:i/>
        </w:rPr>
        <w:t>genus</w:t>
      </w:r>
      <w:r>
        <w:rPr/>
        <w:t xml:space="preserve"> della categoria degli esercizi di ristorazione, </w:t>
      </w:r>
      <w:r>
        <w:rPr>
          <w:u w:val="single"/>
        </w:rPr>
        <w:t>le mense non possono comunque essere assimilate alle attività di ristorazione</w:t>
      </w:r>
      <w:r>
        <w:rPr/>
        <w:t>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/>
      </w:pPr>
      <w:r>
        <w:rPr>
          <w:color w:val="000000"/>
          <w:u w:val="single"/>
        </w:rPr>
        <w:t>Da un punto di vista formale</w:t>
      </w:r>
      <w:r>
        <w:rPr>
          <w:color w:val="000000"/>
        </w:rPr>
        <w:t xml:space="preserve">, la differenza fra le due attività è da rinvenire nel cosiddetto </w:t>
      </w:r>
      <w:r>
        <w:rPr>
          <w:b/>
          <w:bCs/>
          <w:color w:val="000000"/>
        </w:rPr>
        <w:t>codice ATECO.</w:t>
      </w:r>
      <w:r>
        <w:rPr/>
        <w:t xml:space="preserve"> 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/>
      </w:pPr>
      <w:r>
        <w:rPr>
          <w:color w:val="000000"/>
        </w:rPr>
        <w:t xml:space="preserve">Il codice ATECO è un codice alfanumerico che identifica una precisa attività economica. 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FFFFFF"/>
        </w:rPr>
      </w:pPr>
      <w:r>
        <w:rPr>
          <w:color w:val="000000"/>
        </w:rPr>
        <w:t>Questo viene attribuito a ciascuna impresa dalla Camera di Commercio territorialmente competente al momento dell’iscrizione al Registro delle Imprese.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FFFFFF"/>
        </w:rPr>
      </w:pPr>
      <w:r>
        <w:rPr>
          <w:color w:val="000000"/>
        </w:rPr>
        <w:t>Ogni codice, pertanto, corrisponde ad una specifica e diversa attività d’impresa.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000000"/>
        </w:rPr>
      </w:pPr>
      <w:r>
        <w:rPr>
          <w:color w:val="000000"/>
        </w:rPr>
        <w:t>L’attività di “</w:t>
      </w:r>
      <w:r>
        <w:rPr>
          <w:i/>
          <w:iCs/>
          <w:color w:val="000000"/>
        </w:rPr>
        <w:t>ristorante con somministrazione</w:t>
      </w:r>
      <w:r>
        <w:rPr>
          <w:color w:val="000000"/>
        </w:rPr>
        <w:t>” corrisponde al codice ATECO 56.10.11, mentre l’attività di “</w:t>
      </w:r>
      <w:r>
        <w:rPr>
          <w:i/>
          <w:iCs/>
          <w:color w:val="000000"/>
        </w:rPr>
        <w:t>mensa</w:t>
      </w:r>
      <w:r>
        <w:rPr>
          <w:color w:val="000000"/>
        </w:rPr>
        <w:t>” corrisponde al codice ATECO 56.29.10.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000000"/>
        </w:rPr>
      </w:pPr>
      <w:r>
        <w:rPr>
          <w:color w:val="000000"/>
          <w:u w:val="single"/>
        </w:rPr>
        <w:t>Da un punto di vista concreto</w:t>
      </w:r>
      <w:r>
        <w:rPr>
          <w:color w:val="000000"/>
        </w:rPr>
        <w:t>, il dato normativo di partenza per stabilire la differenza fra i suddetti esercizi è certamente da rinvenire all’art. 51 co. 2, lett. c), T.U.I.R. (d.P.R. 917/1986) il quale, pur occupandosi della questione “pasto del dipendente” ai soli fini di determinare il reddito da sottoporre ad imposta, ci consegna alcuni dati utili, ai quali ancorare un ragionamento;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La citata disposizione offre una possibile definizione del concetto di “mensa aziendale”, stabilendo che non concorrono a formare reddito imponibile: </w:t>
      </w:r>
      <w:r>
        <w:rPr>
          <w:i/>
          <w:iCs/>
          <w:color w:val="000000"/>
        </w:rPr>
        <w:t>“</w:t>
      </w:r>
      <w:r>
        <w:rPr>
          <w:i/>
          <w:iCs/>
          <w:color w:val="000000"/>
          <w:u w:val="single"/>
        </w:rPr>
        <w:t>le somministrazioni di vitto da parte del datore di lavoro nonché quelle in mense organizzate direttamente dal datore di lavoro o gestite da terzi</w:t>
      </w:r>
      <w:r>
        <w:rPr>
          <w:i/>
          <w:iCs/>
          <w:color w:val="000000"/>
        </w:rPr>
        <w:t>”.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Per cui possiamo considerare </w:t>
      </w:r>
      <w:r>
        <w:rPr>
          <w:b/>
          <w:bCs/>
          <w:color w:val="000000"/>
        </w:rPr>
        <w:t xml:space="preserve">MENSA AZIENDALE quel luogo organizzato direttamente dal datore di lavoro oppure gestito da terzi ove viene somministrato il vitto ai lavoratori, mentre </w:t>
      </w:r>
      <w:r>
        <w:rPr>
          <w:color w:val="000000"/>
        </w:rPr>
        <w:t xml:space="preserve">il </w:t>
      </w:r>
      <w:r>
        <w:rPr>
          <w:b/>
          <w:bCs/>
          <w:color w:val="000000"/>
        </w:rPr>
        <w:t>RISTORANTE</w:t>
      </w:r>
      <w:r>
        <w:rPr>
          <w:color w:val="000000"/>
        </w:rPr>
        <w:t xml:space="preserve"> si occupa di </w:t>
      </w:r>
      <w:r>
        <w:rPr>
          <w:b/>
          <w:bCs/>
          <w:color w:val="000000"/>
        </w:rPr>
        <w:t>somministrare alimenti e bevande indistintamente a tutti</w:t>
      </w:r>
      <w:r>
        <w:rPr>
          <w:color w:val="000000"/>
        </w:rPr>
        <w:t>. Non solo ai lavoratori. La principale differenza tra MENSA e RISTORANTE consiste, dunque, nel fatto che la prima (Mensa – Cod. 56.29.10) fornisce il vitto ad una determinata categoria di soggetti (nel nostro caso, i lavoratori), mentre il secondo (Ristorante – Cod. 56.10.11) a chiunque sia disposto a pagare il corrispettivo richiesto.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Altro dato normativo da considerare sono le </w:t>
      </w:r>
      <w:r>
        <w:rPr>
          <w:b/>
          <w:bCs/>
          <w:color w:val="000000"/>
          <w:u w:val="single"/>
        </w:rPr>
        <w:t xml:space="preserve">Circolari del Ministero delle Finanze n. 326 del 23.12.1997 </w:t>
      </w:r>
      <w:r>
        <w:rPr>
          <w:color w:val="000000"/>
        </w:rPr>
        <w:t xml:space="preserve">e </w:t>
      </w:r>
      <w:r>
        <w:rPr>
          <w:b/>
          <w:bCs/>
          <w:color w:val="000000"/>
          <w:u w:val="single"/>
        </w:rPr>
        <w:t>n. 188 E del 16.7.1988.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i/>
          <w:i/>
          <w:iCs/>
          <w:color w:val="000000"/>
        </w:rPr>
      </w:pPr>
      <w:r>
        <w:rPr>
          <w:color w:val="000000"/>
        </w:rPr>
        <w:t xml:space="preserve">Le circolari commentavano l’allora art. 48 co. 2, lett. c), T.U.I.R. (d.P.R. 917/1986), cioè l’attuale art. 51, comma 2 lett. c) T.U.I.R., il quale era stato da poco riscritto nel senso di includere nel concetto di </w:t>
      </w:r>
      <w:r>
        <w:rPr>
          <w:b/>
          <w:bCs/>
          <w:color w:val="000000"/>
        </w:rPr>
        <w:t>mensa aziendale</w:t>
      </w:r>
      <w:r>
        <w:rPr>
          <w:color w:val="000000"/>
        </w:rPr>
        <w:t xml:space="preserve"> non solo le </w:t>
      </w:r>
      <w:r>
        <w:rPr>
          <w:i/>
          <w:iCs/>
          <w:color w:val="000000"/>
          <w:u w:val="single"/>
        </w:rPr>
        <w:t>somministrazioni di vitto in mense organizzate direttamente dal datore di lavoro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ma includendo in tale categoria anche le somministrazioni di vitto in mense che siano </w:t>
      </w:r>
      <w:r>
        <w:rPr>
          <w:b/>
          <w:bCs/>
          <w:i/>
          <w:iCs/>
          <w:color w:val="000000"/>
          <w:u w:val="single"/>
        </w:rPr>
        <w:t>gestite da terzi</w:t>
      </w:r>
      <w:r>
        <w:rPr>
          <w:i/>
          <w:iCs/>
          <w:color w:val="000000"/>
        </w:rPr>
        <w:t>”.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Il Ministero delle Finanze, nella richiamata Circolare 326/97, a tal proposito, scrive “tenuto conto della nuova formulazione della norma, è opportuno precisare che tra le prestazioni di vitto e le somministrazioni in mense aziendali, anche gestite da terzi, </w:t>
      </w:r>
      <w:r>
        <w:rPr>
          <w:b/>
          <w:bCs/>
          <w:color w:val="000000"/>
        </w:rPr>
        <w:t>sono comprese le convenzioni con i ristoranti…</w:t>
      </w:r>
      <w:r>
        <w:rPr>
          <w:color w:val="000000"/>
        </w:rPr>
        <w:t>”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000000"/>
        </w:rPr>
      </w:pPr>
      <w:r>
        <w:rPr>
          <w:color w:val="000000"/>
        </w:rPr>
        <w:t>La successiva Circolare n. 188 E del 16.7.1988 ribadisce espressamente tale estensione, seppur chiarendo che la novella impedisce di identificare i ristoranti convenzionati quali mense aziendali con effetto retroattivo. La nuova interpretazione estensiva, quindi, opera solo dal 1° gennaio 1998 in avanti.</w:t>
      </w:r>
    </w:p>
    <w:p>
      <w:pPr>
        <w:pStyle w:val="NormalWeb"/>
        <w:numPr>
          <w:ilvl w:val="0"/>
          <w:numId w:val="1"/>
        </w:numPr>
        <w:shd w:val="clear" w:color="auto" w:fill="FFFFFF"/>
        <w:spacing w:lineRule="auto" w:line="360" w:beforeAutospacing="0" w:before="0" w:afterAutospacing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Infine, anche Agenzia Entrate, con la </w:t>
      </w:r>
      <w:r>
        <w:rPr>
          <w:b/>
          <w:bCs/>
          <w:color w:val="000000"/>
        </w:rPr>
        <w:t>Risoluzione n. 63 del 17.5.2005</w:t>
      </w:r>
      <w:r>
        <w:rPr>
          <w:color w:val="000000"/>
        </w:rPr>
        <w:t xml:space="preserve"> sposa e condivide tale teoria, giungendo addirittura ad estendere ad ogni bar e ristorante che sia munito di una specifica convenzione con i datori di lavoro la qualifica di mensa aziendale. E ciò anche nel caso in cui non sia il datore di lavoro a pagare direttamente i pasti consumati dai dipendenti, ma siano direttamente i lavoratori a pagare mediante l’utilizzo di ticket elettronici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 prescindere dalle considerazioni sinora svolte, 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eastAsia="it-IT"/>
        </w:rPr>
        <w:t>detta disposizione interna è assolutamente contraria alle norme costituzionali nonché alle leggi europee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>, in quanto la normativa in essa contenuta viola palesemente i diritti umani dei cittadini.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La Carta dei diritti fondamentali dell’Unione Europea all’art. 3 dispone: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“Ogni individuo ha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diritto alla propria integrità fisica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 e psichica.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Nell’ambito della medicina e della biologia devono essere in particolare rispettati: il consenso libero e informato della persona interessata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, secondo le modalità definite dalla legge.”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Il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it-IT"/>
        </w:rPr>
        <w:t>Regolamento CE 953/2021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concernente il c.d. “green pass” stabilisce che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“È necessario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evitare la discriminazione diretta o indiretta di persone che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 non sono vaccinate, per esempio per motivi medici, perché non rientrano nel gruppo di destinatari per cui il vaccino anti COVID-19 è attualmente somministrato o consentito, come i bambini, o perché non hanno ancora avuto l'opportunità di essere vaccinate o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hanno scelto di non essere vaccinate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. (…) Inoltre,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il presente regolamento non può essere interpretato nel senso che istituisce un diritto o un obbligo a essere vaccinati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.”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Le norme europee prevalgono su quelle nazionali. Infatti, l’art. 9 del decreto-legge 52/2021, che introduce il “green pass” prevede espressamente l’applicabilità delle norme italiane solo se compatibili con il Regolamento CE 953/2021.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it-IT"/>
        </w:rPr>
        <w:t>Pertanto, il “green pass” è FACOLTATIVO.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Il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it-IT"/>
        </w:rPr>
        <w:t>Consiglio d’Europa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con la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it-IT"/>
        </w:rPr>
        <w:t>risoluzione n. 2631 del 27 gennaio 2021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ha disposto: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“L’assemblea invita gli stati membri e l’Unione Europea ad assicurare: - che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i cittadini siano informati che la vaccinazione non è obbligatoria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 e che nessuno può essere sottoposto ad una pressione politica, sociale o di altro genere affinché si vaccini se non desidera di farlo; - che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nessuno sia discriminato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 per non essere stato vaccinato a causa di possibili pericoli per la salute o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perché non vuole farsi vaccinare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.”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La Costituzione italiana vieta la discriminazione. Infatti, l’art. 3 dispone: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“Tutti i cittadini hanno pari dignità sociale e sono eguali davanti alla legge,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senza distinzione di sesso, di razza, di lingua, di religione; di opinioni politiche, di condizioni personali e sociali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.”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Di contro, le norme sul green pass obbligatorio per l’accesso ai ristoranti e ad altre attività discriminano tra cittadini in considerazione delle loro condizioni personali sanitarie.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La discriminazione è vietata, inoltre, dall’art. 21 della Carta dei diritti fondamentali dell’Unione Europea: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“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È vietata qualsiasi forma di discriminazione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 fondata, in particolare, sul sesso, la razza, il colore della pelle o l’origine etnica o sociale,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le caratteristiche genetiche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, la lingua, la religione o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le convinzioni personali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, le opinioni politiche o di qualsiasi altra natura, l’appartenenza ad una minoranza nazionale, il patrimonio, la nascita, gli handicap, l’età o le tendenze sessuali.”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La CEDU (Convenzione Europea dei Diritti dell’Uomo) vieta anch’essa la discriminazione all’art. 14: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“Il godimento dei diritti e delle libertà riconosciuti nella presente Convenzione deve essere assicurato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senza nessuna discriminazione, in particolare quelle fondate sul sesso, la razza, il colore, la lingua, la religione, le opinioni politiche o quelle di altro genere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, l’origine nazionale o sociale, l’appartenenza a una minoranza nazionale, la ricchezza, la nascita od ogni altra condizione.”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Anche la Dichiarazione Universale dei Diritti dell’Uomo vieta ogni discriminazione all’art. 2: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 xml:space="preserve">“Ad ogni individuo spettano tutti i diritti e tutte le libertà enunciate nella presente Dichiarazione,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u w:val="single"/>
          <w:lang w:eastAsia="it-IT"/>
        </w:rPr>
        <w:t>senza distinzione alcuna, per ragioni di razza, di colore, di sesso, di lingua, di religione, di opinione politica o di altro genere, di origine nazionale o sociale, di ricchezza, di nascita o di altra condizione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.”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360" w:before="0" w:after="160"/>
        <w:ind w:left="426" w:hanging="426"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Pertanto, chiunque impedisca l’ingresso in mensa a chi non sia provvisto del “green pass” sta commettendo il reato di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it-IT"/>
        </w:rPr>
        <w:t>violenza privata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 (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u w:val="single"/>
          <w:lang w:eastAsia="it-IT"/>
        </w:rPr>
        <w:t>art. 610 c.p.</w:t>
      </w:r>
      <w:r>
        <w:rPr>
          <w:rFonts w:eastAsia="Times New Roman" w:cs="Times New Roman" w:ascii="Times New Roman" w:hAnsi="Times New Roman"/>
          <w:sz w:val="24"/>
          <w:szCs w:val="24"/>
          <w:lang w:eastAsia="it-IT"/>
        </w:rPr>
        <w:t xml:space="preserve">): </w:t>
      </w: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“Chiunque, con violenza o minaccia, costringe altri a fare, tollerare od omettere qualche cosa è punito con la reclusione fino a quattro anni.”</w:t>
      </w:r>
    </w:p>
    <w:p>
      <w:pPr>
        <w:pStyle w:val="ListParagraph"/>
        <w:shd w:val="clear" w:color="auto" w:fill="FFFFFF"/>
        <w:spacing w:lineRule="auto" w:line="360" w:before="240" w:after="240"/>
        <w:ind w:left="0" w:hanging="0"/>
        <w:jc w:val="center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  <w:t>***</w:t>
      </w:r>
    </w:p>
    <w:p>
      <w:pPr>
        <w:pStyle w:val="ListParagraph"/>
        <w:spacing w:lineRule="auto" w:line="36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</w:r>
    </w:p>
    <w:p>
      <w:pPr>
        <w:pStyle w:val="NormalWeb"/>
        <w:shd w:val="clear" w:color="auto" w:fill="FFFFFF"/>
        <w:spacing w:lineRule="auto" w:line="360" w:beforeAutospacing="0" w:before="0" w:afterAutospacing="0" w:after="0"/>
        <w:jc w:val="both"/>
        <w:rPr>
          <w:shd w:fill="FFFFFF" w:val="clear"/>
        </w:rPr>
      </w:pPr>
      <w:r>
        <w:rPr>
          <w:shd w:fill="FFFFFF" w:val="clear"/>
        </w:rPr>
        <w:t xml:space="preserve">Tutto ciò premesso e considerato, con la presente </w:t>
      </w:r>
      <w:r>
        <w:rPr>
          <w:b/>
          <w:shd w:fill="FFFFFF" w:val="clear"/>
        </w:rPr>
        <w:t>VI INTIMO E DIFFIDO</w:t>
      </w:r>
      <w:r>
        <w:rPr>
          <w:shd w:fill="FFFFFF" w:val="clear"/>
        </w:rPr>
        <w:t xml:space="preserve"> a consentirmi il regolare accesso presso le mense aziendali, avvertendoVi che, in caso di impedimento, agirò ai sensi di legge per il risarcimento del danno a me cagionato in ogni sede, civile e penale, con la responsabilità dell’azienda in quanto persona giuridica e dei suoi responsabili a titolo personale.</w:t>
      </w:r>
    </w:p>
    <w:p>
      <w:pPr>
        <w:pStyle w:val="ListParagraph"/>
        <w:shd w:val="clear" w:color="auto" w:fill="FFFFFF"/>
        <w:spacing w:lineRule="atLeast" w:line="300" w:before="0" w:after="300"/>
        <w:contextualSpacing/>
        <w:jc w:val="both"/>
        <w:rPr>
          <w:rFonts w:ascii="Times New Roman" w:hAnsi="Times New Roman" w:eastAsia="Times New Roman" w:cs="Times New Roman"/>
          <w:i/>
          <w:i/>
          <w:iCs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i/>
          <w:iCs/>
          <w:sz w:val="24"/>
          <w:szCs w:val="24"/>
          <w:lang w:eastAsia="it-IT"/>
        </w:rPr>
      </w:r>
    </w:p>
    <w:p>
      <w:pPr>
        <w:pStyle w:val="NormalWeb"/>
        <w:shd w:val="clear" w:color="auto" w:fill="FFFFFF"/>
        <w:spacing w:lineRule="atLeast" w:line="300" w:beforeAutospacing="0" w:before="0" w:afterAutospacing="0" w:after="300"/>
        <w:jc w:val="both"/>
        <w:rPr>
          <w:color w:val="333333"/>
        </w:rPr>
      </w:pPr>
      <w:r>
        <w:rPr>
          <w:color w:val="333333"/>
        </w:rPr>
        <w:t>Distinti saluti.</w:t>
      </w:r>
    </w:p>
    <w:p>
      <w:pPr>
        <w:pStyle w:val="NormalWeb"/>
        <w:shd w:val="clear" w:color="auto" w:fill="FFFFFF"/>
        <w:spacing w:lineRule="atLeast" w:line="300" w:beforeAutospacing="0" w:before="920" w:afterAutospacing="0" w:after="280"/>
        <w:jc w:val="right"/>
        <w:rPr>
          <w:color w:val="333333"/>
        </w:rPr>
      </w:pPr>
      <w:r>
        <w:rPr>
          <w:color w:val="333333"/>
        </w:rPr>
        <w:t>Firma ____________________________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134" w:right="1134" w:header="0" w:top="1417" w:footer="4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44358271"/>
    </w:sdtPr>
    <w:sdtContent>
      <w:p>
        <w:pPr>
          <w:pStyle w:val="Pidipagina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t xml:space="preserve">Pagina </w:t>
        </w: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</w:rPr>
          <w:t xml:space="preserve"> di </w:t>
        </w: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NUMPAGES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70801"/>
    <w:rPr>
      <w:b/>
      <w:bCs/>
    </w:rPr>
  </w:style>
  <w:style w:type="character" w:styleId="NormaleWebCarattere" w:customStyle="1">
    <w:name w:val="Normale (Web) Carattere"/>
    <w:basedOn w:val="DefaultParagraphFont"/>
    <w:link w:val="NormaleWeb"/>
    <w:qFormat/>
    <w:rsid w:val="0000699d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ea43a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ea43a8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link w:val="NormaleWebCarattere"/>
    <w:unhideWhenUsed/>
    <w:qFormat/>
    <w:rsid w:val="0037080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bc53fd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ea43a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ea43a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Application>LibreOffice/7.0.3.1$Windows_X86_64 LibreOffice_project/d7547858d014d4cf69878db179d326fc3483e082</Application>
  <Pages>5</Pages>
  <Words>1433</Words>
  <Characters>8085</Characters>
  <CharactersWithSpaces>9466</CharactersWithSpaces>
  <Paragraphs>49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2021-08-27T17:41:00Z</dcterms:created>
  <dc:creator>Francesco</dc:creator>
  <dc:description/>
  <dc:language>it-IT</dc:language>
  <cp:lastModifiedBy/>
  <dcterms:modified xsi:type="dcterms:W3CDTF">2021-09-03T09:12:47Z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